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25DA6A0C" w:rsidR="002A6AFD" w:rsidRPr="00530959"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A5438C" w:rsidRPr="00611234">
        <w:rPr>
          <w:rFonts w:ascii="Times New Roman" w:hAnsi="Times New Roman" w:cs="Times New Roman"/>
          <w:b/>
          <w:sz w:val="32"/>
          <w:szCs w:val="32"/>
        </w:rPr>
        <w:t>2</w:t>
      </w:r>
      <w:r w:rsidR="005155BE" w:rsidRPr="00611234">
        <w:rPr>
          <w:rFonts w:ascii="Times New Roman" w:hAnsi="Times New Roman" w:cs="Times New Roman"/>
          <w:b/>
          <w:sz w:val="32"/>
          <w:szCs w:val="32"/>
        </w:rPr>
        <w:t>/</w:t>
      </w:r>
      <w:r w:rsidR="00C55DBD" w:rsidRPr="00611234">
        <w:rPr>
          <w:rFonts w:ascii="Times New Roman" w:hAnsi="Times New Roman" w:cs="Times New Roman"/>
          <w:b/>
          <w:sz w:val="32"/>
          <w:szCs w:val="32"/>
        </w:rPr>
        <w:t>0</w:t>
      </w:r>
      <w:r w:rsidR="0095559E">
        <w:rPr>
          <w:rFonts w:ascii="Times New Roman" w:hAnsi="Times New Roman" w:cs="Times New Roman"/>
          <w:b/>
          <w:sz w:val="32"/>
          <w:szCs w:val="32"/>
        </w:rPr>
        <w:t>7</w:t>
      </w:r>
      <w:r w:rsidR="00530959" w:rsidRPr="00530959">
        <w:rPr>
          <w:rFonts w:ascii="Times New Roman" w:hAnsi="Times New Roman" w:cs="Times New Roman"/>
          <w:b/>
          <w:sz w:val="32"/>
          <w:szCs w:val="32"/>
        </w:rPr>
        <w:t>9</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0CD8463F"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530959" w:rsidRPr="00530959">
        <w:rPr>
          <w:rFonts w:ascii="Times New Roman" w:hAnsi="Times New Roman" w:cs="Times New Roman"/>
          <w:b/>
          <w:sz w:val="32"/>
          <w:szCs w:val="32"/>
        </w:rPr>
        <w:t>Поставка детектора неровностей оптического волокна</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530959"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43A2AD8B"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530959" w:rsidRPr="00530959">
        <w:rPr>
          <w:rFonts w:ascii="Times New Roman" w:hAnsi="Times New Roman" w:cs="Times New Roman"/>
          <w:b/>
          <w:spacing w:val="0"/>
          <w:sz w:val="24"/>
          <w:szCs w:val="24"/>
        </w:rPr>
        <w:t>Поставка детектора неровностей оптического волокна</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1F463B5F"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530959" w:rsidRPr="00530959">
        <w:rPr>
          <w:rFonts w:ascii="Times New Roman" w:eastAsia="Times New Roman" w:hAnsi="Times New Roman" w:cs="Times New Roman"/>
          <w:color w:val="000000"/>
          <w:sz w:val="24"/>
          <w:szCs w:val="24"/>
          <w:lang w:eastAsia="ru-RU"/>
        </w:rPr>
        <w:t>Поставка детектора неровностей оптического волокна</w:t>
      </w:r>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оказываемых услуг, место </w:t>
      </w:r>
      <w:proofErr w:type="gramStart"/>
      <w:r w:rsidR="0081301A" w:rsidRPr="00611234">
        <w:rPr>
          <w:rFonts w:ascii="Times New Roman" w:hAnsi="Times New Roman" w:cs="Times New Roman"/>
          <w:sz w:val="24"/>
          <w:szCs w:val="24"/>
        </w:rPr>
        <w:t>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оказания услуг</w:t>
      </w:r>
      <w:proofErr w:type="gramEnd"/>
      <w:r w:rsidR="0081301A" w:rsidRPr="00611234">
        <w:rPr>
          <w:rFonts w:ascii="Times New Roman" w:hAnsi="Times New Roman" w:cs="Times New Roman"/>
          <w:sz w:val="24"/>
          <w:szCs w:val="24"/>
        </w:rPr>
        <w:t xml:space="preserve">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bookmarkStart w:id="2" w:name="_GoBack"/>
      <w:bookmarkEnd w:id="2"/>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611366C1" w14:textId="12405CEB" w:rsidR="0095559E" w:rsidRPr="009E68AF" w:rsidRDefault="0095559E" w:rsidP="0095559E">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Синичкин Дмитрий Евгеньевич – менеджер по закупкам и логистике, тел. 8(8342)333-688, доб. 1501, моб. 89197850503</w:t>
      </w:r>
      <w:r w:rsidR="00530959">
        <w:rPr>
          <w:rFonts w:ascii="Times New Roman" w:eastAsia="Calibri" w:hAnsi="Times New Roman" w:cs="Times New Roman"/>
          <w:sz w:val="24"/>
          <w:szCs w:val="24"/>
        </w:rPr>
        <w:t>.</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142ADE37" w14:textId="2B3B0520" w:rsidR="0095559E" w:rsidRDefault="0095559E" w:rsidP="0095559E">
      <w:pPr>
        <w:pStyle w:val="ab"/>
        <w:spacing w:after="0"/>
        <w:jc w:val="both"/>
        <w:rPr>
          <w:rFonts w:hint="eastAsia"/>
        </w:rPr>
      </w:pPr>
      <w:r>
        <w:t xml:space="preserve">- </w:t>
      </w:r>
      <w:proofErr w:type="spellStart"/>
      <w:r w:rsidR="00530959">
        <w:t>Сюбаев</w:t>
      </w:r>
      <w:proofErr w:type="spellEnd"/>
      <w:r w:rsidR="00530959">
        <w:t xml:space="preserve"> Дамир </w:t>
      </w:r>
      <w:proofErr w:type="spellStart"/>
      <w:r w:rsidR="00530959">
        <w:t>Камилевич</w:t>
      </w:r>
      <w:proofErr w:type="spellEnd"/>
      <w:r w:rsidRPr="00D14542">
        <w:t xml:space="preserve"> </w:t>
      </w:r>
      <w:r>
        <w:t>–</w:t>
      </w:r>
      <w:r w:rsidRPr="00D14542">
        <w:t xml:space="preserve"> </w:t>
      </w:r>
      <w:r w:rsidR="00530959">
        <w:t>инженер-метролог</w:t>
      </w:r>
      <w:r w:rsidRPr="00D14542">
        <w:t>, тел. 8(8342)333-688, 333-689</w:t>
      </w:r>
      <w:r>
        <w:t xml:space="preserve"> доб. 111</w:t>
      </w:r>
      <w:r w:rsidR="00530959">
        <w:t>4.</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07D96521"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w:t>
      </w:r>
      <w:r w:rsidR="00530959">
        <w:rPr>
          <w:rFonts w:ascii="Times New Roman" w:hAnsi="Times New Roman" w:cs="Times New Roman"/>
          <w:sz w:val="24"/>
          <w:szCs w:val="24"/>
        </w:rPr>
        <w:t>02</w:t>
      </w:r>
      <w:r w:rsidRPr="00240962">
        <w:rPr>
          <w:rFonts w:ascii="Times New Roman" w:hAnsi="Times New Roman" w:cs="Times New Roman"/>
          <w:sz w:val="24"/>
          <w:szCs w:val="24"/>
        </w:rPr>
        <w:t xml:space="preserve">» </w:t>
      </w:r>
      <w:r w:rsidR="00530959" w:rsidRPr="00286B08">
        <w:rPr>
          <w:rFonts w:ascii="Times New Roman" w:hAnsi="Times New Roman" w:cs="Times New Roman"/>
          <w:sz w:val="24"/>
          <w:szCs w:val="24"/>
        </w:rPr>
        <w:t xml:space="preserve">декабря </w:t>
      </w:r>
      <w:r w:rsidRPr="00240962">
        <w:rPr>
          <w:rFonts w:ascii="Times New Roman" w:hAnsi="Times New Roman" w:cs="Times New Roman"/>
          <w:sz w:val="24"/>
          <w:szCs w:val="24"/>
        </w:rPr>
        <w:t>2022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2FB4194A"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w:t>
      </w:r>
      <w:r w:rsidR="00530959">
        <w:rPr>
          <w:rFonts w:ascii="Times New Roman" w:hAnsi="Times New Roman" w:cs="Times New Roman"/>
          <w:sz w:val="24"/>
          <w:szCs w:val="24"/>
        </w:rPr>
        <w:t>09</w:t>
      </w:r>
      <w:r w:rsidRPr="00286B08">
        <w:rPr>
          <w:rFonts w:ascii="Times New Roman" w:hAnsi="Times New Roman" w:cs="Times New Roman"/>
          <w:sz w:val="24"/>
          <w:szCs w:val="24"/>
        </w:rPr>
        <w:t>» декабря 2022 года.</w:t>
      </w:r>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w:t>
      </w:r>
      <w:proofErr w:type="gramStart"/>
      <w:r w:rsidR="000C1324">
        <w:rPr>
          <w:rFonts w:ascii="Times New Roman" w:hAnsi="Times New Roman" w:cs="Times New Roman"/>
        </w:rPr>
        <w:t>за</w:t>
      </w:r>
      <w:proofErr w:type="gramEnd"/>
      <w:r w:rsidR="000C1324">
        <w:rPr>
          <w:rFonts w:ascii="Times New Roman" w:hAnsi="Times New Roman" w:cs="Times New Roman"/>
        </w:rPr>
        <w:t xml:space="preserve">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 xml:space="preserve">видетельство </w:t>
      </w:r>
      <w:proofErr w:type="gramStart"/>
      <w:r w:rsidR="00422213" w:rsidRPr="00625034">
        <w:rPr>
          <w:rFonts w:ascii="Times New Roman" w:hAnsi="Times New Roman" w:cs="Times New Roman"/>
        </w:rPr>
        <w:t>о постановке на учет в налоговом органе по ме</w:t>
      </w:r>
      <w:r w:rsidR="00611234">
        <w:rPr>
          <w:rFonts w:ascii="Times New Roman" w:hAnsi="Times New Roman" w:cs="Times New Roman"/>
        </w:rPr>
        <w:t>сту нахождения на территории</w:t>
      </w:r>
      <w:proofErr w:type="gramEnd"/>
      <w:r w:rsidR="00611234">
        <w:rPr>
          <w:rFonts w:ascii="Times New Roman" w:hAnsi="Times New Roman" w:cs="Times New Roman"/>
        </w:rPr>
        <w:t xml:space="preserve">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 xml:space="preserve">соответствие требованиям технического задания, условия </w:t>
            </w:r>
            <w:proofErr w:type="gramStart"/>
            <w:r w:rsidRPr="00611234">
              <w:rPr>
                <w:rFonts w:ascii="Times New Roman" w:hAnsi="Times New Roman" w:cs="Times New Roman"/>
              </w:rPr>
              <w:t>поставки товара/выполнения работ/оказания</w:t>
            </w:r>
            <w:proofErr w:type="gramEnd"/>
            <w:r w:rsidRPr="00611234">
              <w:rPr>
                <w:rFonts w:ascii="Times New Roman" w:hAnsi="Times New Roman" w:cs="Times New Roman"/>
              </w:rPr>
              <w:t xml:space="preserve">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30959"/>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559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9355F-ECFC-4293-9F43-FF626E8B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24</cp:revision>
  <cp:lastPrinted>2016-09-02T06:58:00Z</cp:lastPrinted>
  <dcterms:created xsi:type="dcterms:W3CDTF">2022-08-10T07:35:00Z</dcterms:created>
  <dcterms:modified xsi:type="dcterms:W3CDTF">2022-12-02T07:42:00Z</dcterms:modified>
</cp:coreProperties>
</file>